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ptos Display" w:hAnsi="Aptos Display"/>
          <w:sz w:val="24"/>
          <w:szCs w:val="24"/>
        </w:rPr>
        <w:id w:val="-2146577338"/>
        <w:docPartObj>
          <w:docPartGallery w:val="Cover Pages"/>
          <w:docPartUnique/>
        </w:docPartObj>
      </w:sdtPr>
      <w:sdtContent>
        <w:p w14:paraId="5782811A" w14:textId="66FB6D18" w:rsidR="003C6213" w:rsidRPr="002D1EF0" w:rsidRDefault="003C6213" w:rsidP="00356286">
          <w:pPr>
            <w:jc w:val="center"/>
            <w:rPr>
              <w:rFonts w:ascii="Aptos Display" w:hAnsi="Aptos Display"/>
              <w:b/>
              <w:bCs/>
              <w:color w:val="538135" w:themeColor="accent6" w:themeShade="BF"/>
              <w:sz w:val="24"/>
              <w:szCs w:val="24"/>
              <w:lang w:val="it-IT"/>
            </w:rPr>
          </w:pPr>
          <w:r w:rsidRPr="002D1EF0">
            <w:rPr>
              <w:rFonts w:ascii="Aptos Display" w:hAnsi="Aptos Display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left:0;text-align:left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A22AFB" w:rsidRPr="002D1EF0">
            <w:rPr>
              <w:rFonts w:ascii="Aptos Display" w:hAnsi="Aptos Display"/>
              <w:b/>
              <w:bCs/>
              <w:color w:val="0070C0"/>
              <w:sz w:val="24"/>
              <w:szCs w:val="24"/>
              <w:lang w:val="it-IT"/>
            </w:rPr>
            <w:t xml:space="preserve"> </w:t>
          </w:r>
          <w:r w:rsidR="00A22AFB" w:rsidRPr="002D1EF0">
            <w:rPr>
              <w:rFonts w:ascii="Aptos Display" w:hAnsi="Aptos Display"/>
              <w:b/>
              <w:bCs/>
              <w:color w:val="538135" w:themeColor="accent6" w:themeShade="BF"/>
              <w:sz w:val="24"/>
              <w:szCs w:val="24"/>
              <w:lang w:val="it-IT"/>
            </w:rPr>
            <w:t xml:space="preserve">Anexa 1 la </w:t>
          </w:r>
          <w:r w:rsidR="00145EA7" w:rsidRPr="00145EA7">
            <w:rPr>
              <w:rFonts w:ascii="Aptos Display" w:hAnsi="Aptos Display"/>
              <w:b/>
              <w:bCs/>
              <w:color w:val="538135" w:themeColor="accent6" w:themeShade="BF"/>
              <w:sz w:val="24"/>
              <w:szCs w:val="24"/>
              <w:lang w:val="it-IT"/>
            </w:rPr>
            <w:t>Ghidului Solicitantului,,Intervenții care sprijină Dezvoltarea întreprinderilor și a antreprenoriatului’’, componenta „</w:t>
          </w:r>
          <w:r w:rsidR="00356286" w:rsidRPr="00356286">
            <w:t xml:space="preserve"> </w:t>
          </w:r>
          <w:r w:rsidR="00356286" w:rsidRPr="00356286">
            <w:rPr>
              <w:rFonts w:ascii="Aptos Display" w:hAnsi="Aptos Display"/>
              <w:b/>
              <w:bCs/>
              <w:color w:val="538135" w:themeColor="accent6" w:themeShade="BF"/>
              <w:sz w:val="24"/>
              <w:szCs w:val="24"/>
              <w:lang w:val="it-IT"/>
            </w:rPr>
            <w:t>Sprijin pentru infrastructura de afaceri – Parcuri industriale</w:t>
          </w:r>
          <w:r w:rsidR="00145EA7" w:rsidRPr="00145EA7">
            <w:rPr>
              <w:rFonts w:ascii="Aptos Display" w:hAnsi="Aptos Display"/>
              <w:b/>
              <w:bCs/>
              <w:color w:val="538135" w:themeColor="accent6" w:themeShade="BF"/>
              <w:sz w:val="24"/>
              <w:szCs w:val="24"/>
              <w:lang w:val="it-IT"/>
            </w:rPr>
            <w:t>”  din cadrul Programului Tranziție Justă 2021 – 2027</w:t>
          </w:r>
        </w:p>
      </w:sdtContent>
    </w:sdt>
    <w:p w14:paraId="0AFBB044" w14:textId="77777777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Program: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Prioritate: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Obiectiv de politică: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&lt;obiectiv de politică&gt;</w:t>
      </w:r>
    </w:p>
    <w:p w14:paraId="30F6D2C9" w14:textId="42D2B57C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Fond: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&lt;FTJ&gt;</w:t>
      </w:r>
    </w:p>
    <w:p w14:paraId="080124D1" w14:textId="18C5C348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Obiectiv specific: </w:t>
      </w:r>
      <w:r w:rsidR="00EA43B1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&lt;obiectiv s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highlight w:val="lightGray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Apel de proiecte: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&lt;titlu</w:t>
      </w:r>
      <w:r w:rsidR="00EE3C74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 xml:space="preserve">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let corect tipul/domeniul vizat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 xml:space="preserve"> </w:t>
      </w:r>
      <w:r w:rsidR="00EE3C74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 xml:space="preserve">de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apel, după caz &gt;</w:t>
      </w:r>
    </w:p>
    <w:p w14:paraId="4D9F5946" w14:textId="7530C1D8" w:rsidR="002D1EF0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Cod SMIS: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2D1EF0" w:rsidRDefault="00EE5A2B" w:rsidP="00EE5A2B">
      <w:pPr>
        <w:spacing w:after="0" w:line="240" w:lineRule="auto"/>
        <w:rPr>
          <w:rFonts w:ascii="Aptos Display" w:hAnsi="Aptos Display" w:cstheme="minorHAnsi"/>
          <w:sz w:val="24"/>
          <w:szCs w:val="24"/>
          <w:lang w:val="it-IT"/>
        </w:rPr>
      </w:pPr>
    </w:p>
    <w:p w14:paraId="618A4A38" w14:textId="4217E478" w:rsidR="00D771E7" w:rsidRPr="002D1EF0" w:rsidRDefault="00A87904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24"/>
        </w:rPr>
      </w:pPr>
      <w:r w:rsidRPr="002D1EF0">
        <w:rPr>
          <w:rFonts w:ascii="Aptos Display" w:hAnsi="Aptos Display" w:cstheme="minorHAnsi"/>
          <w:b/>
          <w:sz w:val="24"/>
        </w:rPr>
        <w:t>BUGETULUI SINTETIC AL PROIECTULUI</w:t>
      </w:r>
    </w:p>
    <w:p w14:paraId="3A8D5846" w14:textId="77777777" w:rsidR="00F43CE5" w:rsidRPr="002D1EF0" w:rsidRDefault="00F43CE5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sz w:val="24"/>
        </w:rPr>
      </w:pP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5"/>
        <w:gridCol w:w="1270"/>
        <w:gridCol w:w="1801"/>
        <w:gridCol w:w="985"/>
        <w:gridCol w:w="1142"/>
        <w:gridCol w:w="1411"/>
        <w:gridCol w:w="1134"/>
        <w:gridCol w:w="907"/>
        <w:gridCol w:w="797"/>
        <w:gridCol w:w="990"/>
        <w:gridCol w:w="1275"/>
        <w:gridCol w:w="1414"/>
      </w:tblGrid>
      <w:tr w:rsidR="00F43CE5" w:rsidRPr="002D1EF0" w14:paraId="5E57A24D" w14:textId="77777777" w:rsidTr="0052056D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lastRenderedPageBreak/>
              <w:t>Nr. crt.</w:t>
            </w:r>
          </w:p>
        </w:tc>
        <w:tc>
          <w:tcPr>
            <w:tcW w:w="459" w:type="pct"/>
            <w:vMerge w:val="restart"/>
          </w:tcPr>
          <w:p w14:paraId="32D59F28" w14:textId="77777777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CATEGORIE CHELTUIELI </w:t>
            </w:r>
          </w:p>
        </w:tc>
        <w:tc>
          <w:tcPr>
            <w:tcW w:w="651" w:type="pct"/>
            <w:vMerge w:val="restart"/>
          </w:tcPr>
          <w:p w14:paraId="2E452DFE" w14:textId="53113172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>Tip de cheltuiala (directa/indirecta)</w:t>
            </w:r>
          </w:p>
        </w:tc>
        <w:tc>
          <w:tcPr>
            <w:tcW w:w="1689" w:type="pct"/>
            <w:gridSpan w:val="4"/>
          </w:tcPr>
          <w:p w14:paraId="4847A303" w14:textId="23C48229" w:rsidR="002D078E" w:rsidRPr="002D1EF0" w:rsidRDefault="002D078E" w:rsidP="005C4AF8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Valoare eligibilă a proiectului, incl.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0F338EE0" w:rsidR="002D078E" w:rsidRPr="002D1EF0" w:rsidRDefault="002F796A" w:rsidP="0A2EF9C7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b/>
                <w:b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Valoare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 xml:space="preserve"> total</w:t>
            </w:r>
            <w:r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ă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 xml:space="preserve"> neeligibil</w:t>
            </w:r>
            <w:r w:rsidR="0052056D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ă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 xml:space="preserve"> </w:t>
            </w:r>
            <w:r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a proiectului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, incl. TVA neeligibil</w:t>
            </w:r>
          </w:p>
        </w:tc>
        <w:tc>
          <w:tcPr>
            <w:tcW w:w="511" w:type="pct"/>
            <w:vMerge w:val="restart"/>
          </w:tcPr>
          <w:p w14:paraId="19C60FC4" w14:textId="73A2B6E7" w:rsidR="002D078E" w:rsidRPr="002D1EF0" w:rsidRDefault="002F796A" w:rsidP="002F796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Valoare totală </w:t>
            </w:r>
            <w:r w:rsidR="002D078E"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 a proiectului</w:t>
            </w:r>
          </w:p>
        </w:tc>
      </w:tr>
      <w:tr w:rsidR="00F43CE5" w:rsidRPr="002D1EF0" w14:paraId="3B31418A" w14:textId="77777777" w:rsidTr="0052056D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2D1EF0" w:rsidRDefault="002D078E" w:rsidP="00A51396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459" w:type="pct"/>
            <w:vMerge/>
          </w:tcPr>
          <w:p w14:paraId="3621FABA" w14:textId="77777777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651" w:type="pct"/>
            <w:vMerge/>
          </w:tcPr>
          <w:p w14:paraId="00E48E9B" w14:textId="5555B26B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356" w:type="pct"/>
          </w:tcPr>
          <w:p w14:paraId="509C7574" w14:textId="4FA1E1FF" w:rsidR="002D078E" w:rsidRPr="002D1EF0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 xml:space="preserve">Total </w:t>
            </w:r>
          </w:p>
        </w:tc>
        <w:tc>
          <w:tcPr>
            <w:tcW w:w="413" w:type="pct"/>
          </w:tcPr>
          <w:p w14:paraId="1D52D2B6" w14:textId="1067DF50" w:rsidR="002D078E" w:rsidRPr="002D1EF0" w:rsidRDefault="004E7798" w:rsidP="0A2EF9C7">
            <w:pPr>
              <w:pStyle w:val="Default"/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>Valoare eligibilă nerambursabilă</w:t>
            </w:r>
            <w:r w:rsidR="002D078E"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 xml:space="preserve"> din </w:t>
            </w:r>
            <w:r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>partea</w:t>
            </w:r>
            <w:r w:rsidR="002D078E"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 xml:space="preserve"> fonduri</w:t>
            </w:r>
            <w:r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>lor</w:t>
            </w:r>
            <w:r w:rsidR="002D078E"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 xml:space="preserve"> (UE)   </w:t>
            </w:r>
          </w:p>
        </w:tc>
        <w:tc>
          <w:tcPr>
            <w:tcW w:w="510" w:type="pct"/>
          </w:tcPr>
          <w:p w14:paraId="097AA52C" w14:textId="6CCAA8B2" w:rsidR="002D078E" w:rsidRPr="002D1EF0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>Valoarea eligibilă nerambursabilă  din bugetul național</w:t>
            </w:r>
          </w:p>
        </w:tc>
        <w:tc>
          <w:tcPr>
            <w:tcW w:w="410" w:type="pct"/>
          </w:tcPr>
          <w:p w14:paraId="4359313E" w14:textId="0A90623A" w:rsidR="002D078E" w:rsidRPr="002D1EF0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>Valoare cofinanțare</w:t>
            </w:r>
            <w:r w:rsidR="004E7798"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 xml:space="preserve">eligibilă  beneficiar </w:t>
            </w:r>
          </w:p>
        </w:tc>
        <w:tc>
          <w:tcPr>
            <w:tcW w:w="328" w:type="pct"/>
          </w:tcPr>
          <w:p w14:paraId="4FC2DF4E" w14:textId="08C13881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i/>
                <w:sz w:val="18"/>
                <w:szCs w:val="18"/>
              </w:rPr>
              <w:t xml:space="preserve">Total </w:t>
            </w:r>
          </w:p>
        </w:tc>
        <w:tc>
          <w:tcPr>
            <w:tcW w:w="288" w:type="pct"/>
          </w:tcPr>
          <w:p w14:paraId="01FD8DA1" w14:textId="4D5CF4F4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i/>
                <w:sz w:val="18"/>
                <w:szCs w:val="18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i/>
                <w:sz w:val="18"/>
                <w:szCs w:val="18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</w:tr>
      <w:tr w:rsidR="00F43CE5" w:rsidRPr="002D1EF0" w14:paraId="0D4EF34E" w14:textId="77777777" w:rsidTr="0052056D">
        <w:tc>
          <w:tcPr>
            <w:tcW w:w="255" w:type="pct"/>
          </w:tcPr>
          <w:p w14:paraId="097BB560" w14:textId="77777777" w:rsidR="002D078E" w:rsidRPr="002D1EF0" w:rsidRDefault="002D078E" w:rsidP="007432BF">
            <w:pPr>
              <w:pStyle w:val="bullet"/>
              <w:spacing w:before="0" w:after="0"/>
              <w:ind w:left="720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459" w:type="pct"/>
          </w:tcPr>
          <w:p w14:paraId="69E9D6E6" w14:textId="77777777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51" w:type="pct"/>
          </w:tcPr>
          <w:p w14:paraId="4AE62A25" w14:textId="77777777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356" w:type="pct"/>
          </w:tcPr>
          <w:p w14:paraId="7AEB9931" w14:textId="31F622FD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3= 4+5+6</w:t>
            </w:r>
          </w:p>
        </w:tc>
        <w:tc>
          <w:tcPr>
            <w:tcW w:w="413" w:type="pct"/>
          </w:tcPr>
          <w:p w14:paraId="3B60DF24" w14:textId="7BEEB436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10" w:type="pct"/>
          </w:tcPr>
          <w:p w14:paraId="4793A5DC" w14:textId="0F8465A5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410" w:type="pct"/>
          </w:tcPr>
          <w:p w14:paraId="2BCA99A1" w14:textId="653C1F50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328" w:type="pct"/>
          </w:tcPr>
          <w:p w14:paraId="167482E4" w14:textId="5F9D55EC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7</w:t>
            </w:r>
            <w:r w:rsidR="002D078E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=</w:t>
            </w: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8+9</w:t>
            </w:r>
          </w:p>
        </w:tc>
        <w:tc>
          <w:tcPr>
            <w:tcW w:w="288" w:type="pct"/>
          </w:tcPr>
          <w:p w14:paraId="0ECE30A9" w14:textId="76254603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="00E341B7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="00E341B7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=3+1</w:t>
            </w:r>
            <w:r w:rsidR="00E341B7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</w:tr>
      <w:tr w:rsidR="00F43CE5" w:rsidRPr="002D1EF0" w14:paraId="381AB96A" w14:textId="77777777" w:rsidTr="0052056D">
        <w:tc>
          <w:tcPr>
            <w:tcW w:w="255" w:type="pct"/>
          </w:tcPr>
          <w:p w14:paraId="6BAC27D1" w14:textId="77777777" w:rsidR="002D078E" w:rsidRPr="002D1EF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59" w:type="pct"/>
          </w:tcPr>
          <w:p w14:paraId="46807137" w14:textId="3B491FC0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2CEC3C00" w14:textId="50B14195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48842139" w14:textId="5B3F7805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0FFB642C" w14:textId="00B25A45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0B880EAB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104CF9F9" w14:textId="749DF46C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741E7A6E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504BB7E9" w14:textId="71E4E123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03DB397E" w14:textId="72DF0C39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E5AD9FC" w14:textId="3AD64390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4E6948CD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02445D05" w14:textId="77777777" w:rsidTr="0052056D">
        <w:tc>
          <w:tcPr>
            <w:tcW w:w="255" w:type="pct"/>
          </w:tcPr>
          <w:p w14:paraId="7447E249" w14:textId="77777777" w:rsidR="002D078E" w:rsidRPr="002D1EF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59" w:type="pct"/>
          </w:tcPr>
          <w:p w14:paraId="04C0EF01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43F572E8" w14:textId="6529D0C6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789D9CCD" w14:textId="7DC68551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51956174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C356FFD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27B3886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2D84E26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5DEEADCF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288ECBF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26275A5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3647F9BB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12BE53F5" w14:textId="77777777" w:rsidTr="0052056D">
        <w:tc>
          <w:tcPr>
            <w:tcW w:w="255" w:type="pct"/>
          </w:tcPr>
          <w:p w14:paraId="6861AA21" w14:textId="77777777" w:rsidR="002D078E" w:rsidRPr="002D1EF0" w:rsidRDefault="002D078E" w:rsidP="007432BF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......</w:t>
            </w:r>
          </w:p>
        </w:tc>
        <w:tc>
          <w:tcPr>
            <w:tcW w:w="459" w:type="pct"/>
          </w:tcPr>
          <w:p w14:paraId="05C8B060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67569D40" w14:textId="21A6915B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7F22F411" w14:textId="5CD4B5FD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7AFA1BEB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1F11F5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7E49F9B2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76FD21CA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6806339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50F6601A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69B79DF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159F1391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1F4B2B16" w14:textId="77777777" w:rsidTr="0052056D">
        <w:tc>
          <w:tcPr>
            <w:tcW w:w="1365" w:type="pct"/>
            <w:gridSpan w:val="3"/>
          </w:tcPr>
          <w:p w14:paraId="7FF5C9DE" w14:textId="26B1C9F2" w:rsidR="002D078E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TOTAL</w:t>
            </w:r>
          </w:p>
        </w:tc>
        <w:tc>
          <w:tcPr>
            <w:tcW w:w="356" w:type="pct"/>
          </w:tcPr>
          <w:p w14:paraId="78D5953E" w14:textId="00DB8123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34CB5A1E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37475E3A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3F373F9C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459006BC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415F239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79E4B0F7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41BC5B79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20E07B9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1D0DB3D0" w14:textId="77777777" w:rsidTr="0052056D">
        <w:tc>
          <w:tcPr>
            <w:tcW w:w="1365" w:type="pct"/>
            <w:gridSpan w:val="3"/>
          </w:tcPr>
          <w:p w14:paraId="55D4FF08" w14:textId="49F04815" w:rsidR="00474FB5" w:rsidRPr="002D1EF0" w:rsidRDefault="00474FB5" w:rsidP="00CB4E21">
            <w:pPr>
              <w:pStyle w:val="bullet"/>
              <w:numPr>
                <w:ilvl w:val="0"/>
                <w:numId w:val="5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Pe categorii de cheltuieli</w:t>
            </w:r>
          </w:p>
        </w:tc>
        <w:tc>
          <w:tcPr>
            <w:tcW w:w="356" w:type="pct"/>
          </w:tcPr>
          <w:p w14:paraId="6748AB2C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69DBABF2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2B605183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2923C5F7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5C6E511F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0F2AFB8A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7F009879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54E654C3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234EB1F4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00CEB296" w14:textId="77777777" w:rsidTr="0052056D">
        <w:tc>
          <w:tcPr>
            <w:tcW w:w="1365" w:type="pct"/>
            <w:gridSpan w:val="3"/>
          </w:tcPr>
          <w:p w14:paraId="3CD314B9" w14:textId="1988F13E" w:rsidR="002D078E" w:rsidRPr="002D1EF0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TOTAL CHELTUIELI DIRECTE</w:t>
            </w:r>
          </w:p>
        </w:tc>
        <w:tc>
          <w:tcPr>
            <w:tcW w:w="356" w:type="pct"/>
          </w:tcPr>
          <w:p w14:paraId="77D0D924" w14:textId="134E45A9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22271F02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293BB5D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3444C713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4D95FF17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0E67F15F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44A37F1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EEF0D75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23E41A39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44B2DCA4" w14:textId="77777777" w:rsidTr="0052056D">
        <w:tc>
          <w:tcPr>
            <w:tcW w:w="1365" w:type="pct"/>
            <w:gridSpan w:val="3"/>
          </w:tcPr>
          <w:p w14:paraId="03058E8F" w14:textId="1A7ABF2E" w:rsidR="002D078E" w:rsidRPr="002D1EF0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TOTAL CHELTUIELI INDIRECTE</w:t>
            </w:r>
          </w:p>
        </w:tc>
        <w:tc>
          <w:tcPr>
            <w:tcW w:w="356" w:type="pct"/>
          </w:tcPr>
          <w:p w14:paraId="370DD148" w14:textId="08CEDD1E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28227683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47D45038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4108FFCE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114A53F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6B83BAD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37A3A5F8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25ADAAD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283C89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44D49D02" w14:textId="77777777" w:rsidTr="0052056D">
        <w:tc>
          <w:tcPr>
            <w:tcW w:w="1365" w:type="pct"/>
            <w:gridSpan w:val="3"/>
          </w:tcPr>
          <w:p w14:paraId="1243170B" w14:textId="4473C216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 xml:space="preserve">TOTAL CHELTUIELI care se încadrează în prev. art. 25 din Reg. (UE) </w:t>
            </w:r>
            <w:r w:rsidR="00CB4E21" w:rsidRPr="002D1EF0">
              <w:rPr>
                <w:rFonts w:ascii="Aptos Display" w:hAnsi="Aptos Display" w:cstheme="minorHAnsi"/>
                <w:sz w:val="18"/>
                <w:szCs w:val="18"/>
              </w:rPr>
              <w:t xml:space="preserve">nr. </w:t>
            </w:r>
            <w:r w:rsidRPr="002D1EF0">
              <w:rPr>
                <w:rFonts w:ascii="Aptos Display" w:hAnsi="Aptos Display" w:cstheme="minorHAnsi"/>
                <w:sz w:val="18"/>
                <w:szCs w:val="18"/>
              </w:rPr>
              <w:t>1060/2021</w:t>
            </w:r>
          </w:p>
        </w:tc>
        <w:tc>
          <w:tcPr>
            <w:tcW w:w="356" w:type="pct"/>
          </w:tcPr>
          <w:p w14:paraId="32D7C8DA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1B41347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935FE6B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4632811E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1A9028DA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277BFB9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5A6F2213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FBE8588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EEC29B7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  <w:p w14:paraId="3B158D25" w14:textId="4270DD72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</w:tbl>
    <w:p w14:paraId="0801BB72" w14:textId="77777777" w:rsidR="00CB4E21" w:rsidRPr="002D1EF0" w:rsidRDefault="00CB4E21" w:rsidP="00CE135F">
      <w:pPr>
        <w:rPr>
          <w:rFonts w:ascii="Aptos Display" w:hAnsi="Aptos Display" w:cstheme="minorHAnsi"/>
          <w:i/>
          <w:sz w:val="24"/>
          <w:szCs w:val="24"/>
        </w:rPr>
      </w:pPr>
    </w:p>
    <w:p w14:paraId="140399D5" w14:textId="7B48D238" w:rsidR="00A87904" w:rsidRPr="002D1EF0" w:rsidRDefault="00A87904" w:rsidP="00CE135F">
      <w:pPr>
        <w:rPr>
          <w:rFonts w:ascii="Aptos Display" w:hAnsi="Aptos Display" w:cstheme="minorHAnsi"/>
          <w:i/>
          <w:sz w:val="24"/>
          <w:szCs w:val="24"/>
          <w:lang w:val="it-IT"/>
        </w:rPr>
      </w:pPr>
      <w:r w:rsidRPr="002D1EF0">
        <w:rPr>
          <w:rFonts w:ascii="Aptos Display" w:hAnsi="Aptos Display" w:cstheme="minorHAnsi"/>
          <w:i/>
          <w:sz w:val="24"/>
          <w:szCs w:val="24"/>
          <w:lang w:val="it-IT"/>
        </w:rPr>
        <w:t>Notă: Bugetul sintetic al proiectului se exportă din MySMIS/SMIS pe baza informațiilor detaliate privind elementele de cost/cheltuieli încărcate de solicitant în sistemul informatic</w:t>
      </w:r>
    </w:p>
    <w:sectPr w:rsidR="00A87904" w:rsidRPr="002D1EF0" w:rsidSect="00AA6F11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84EA9" w14:textId="77777777" w:rsidR="009D5B4B" w:rsidRDefault="009D5B4B" w:rsidP="00C456FD">
      <w:pPr>
        <w:spacing w:after="0" w:line="240" w:lineRule="auto"/>
      </w:pPr>
      <w:r>
        <w:separator/>
      </w:r>
    </w:p>
  </w:endnote>
  <w:endnote w:type="continuationSeparator" w:id="0">
    <w:p w14:paraId="5EDF6263" w14:textId="77777777" w:rsidR="009D5B4B" w:rsidRDefault="009D5B4B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FB4C8" w14:textId="77777777" w:rsidR="009D5B4B" w:rsidRDefault="009D5B4B" w:rsidP="00C456FD">
      <w:pPr>
        <w:spacing w:after="0" w:line="240" w:lineRule="auto"/>
      </w:pPr>
      <w:r>
        <w:separator/>
      </w:r>
    </w:p>
  </w:footnote>
  <w:footnote w:type="continuationSeparator" w:id="0">
    <w:p w14:paraId="7B21C584" w14:textId="77777777" w:rsidR="009D5B4B" w:rsidRDefault="009D5B4B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50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14050"/>
    </w:tblGrid>
    <w:tr w:rsidR="00356286" w14:paraId="26053F1C" w14:textId="77777777" w:rsidTr="00DA07FE">
      <w:trPr>
        <w:cantSplit/>
        <w:trHeight w:val="1006"/>
      </w:trPr>
      <w:tc>
        <w:tcPr>
          <w:tcW w:w="14050" w:type="dxa"/>
          <w:tcBorders>
            <w:bottom w:val="single" w:sz="4" w:space="0" w:color="333333"/>
          </w:tcBorders>
        </w:tcPr>
        <w:p w14:paraId="430B5D40" w14:textId="77777777" w:rsidR="00356286" w:rsidRDefault="00356286" w:rsidP="00356286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noProof/>
            </w:rPr>
            <w:drawing>
              <wp:inline distT="0" distB="0" distL="0" distR="0" wp14:anchorId="33719BDD" wp14:editId="28754939">
                <wp:extent cx="5724525" cy="609600"/>
                <wp:effectExtent l="0" t="0" r="9525" b="0"/>
                <wp:docPr id="2535003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56286" w14:paraId="2C41232E" w14:textId="77777777" w:rsidTr="00DA07FE">
      <w:trPr>
        <w:cantSplit/>
        <w:trHeight w:val="1117"/>
      </w:trPr>
      <w:tc>
        <w:tcPr>
          <w:tcW w:w="14050" w:type="dxa"/>
          <w:tcBorders>
            <w:bottom w:val="single" w:sz="4" w:space="0" w:color="333333"/>
          </w:tcBorders>
        </w:tcPr>
        <w:p w14:paraId="3252ED5D" w14:textId="77777777" w:rsidR="00356286" w:rsidRDefault="00356286" w:rsidP="00356286">
          <w:pPr>
            <w:pStyle w:val="Header"/>
            <w:rPr>
              <w:noProof/>
            </w:rPr>
          </w:pPr>
        </w:p>
        <w:p w14:paraId="77705A32" w14:textId="15B4AE12" w:rsidR="00356286" w:rsidRPr="00173A13" w:rsidRDefault="00356286" w:rsidP="00356286">
          <w:pPr>
            <w:pStyle w:val="Header"/>
            <w:rPr>
              <w:noProof/>
            </w:rPr>
          </w:pPr>
          <w:r w:rsidRPr="00173A13">
            <w:rPr>
              <w:noProof/>
            </w:rPr>
            <w:t>2.1.1. Atenuarea impactului socio-economic al tranziției la neutralitatea climatica în</w:t>
          </w:r>
          <w:r>
            <w:rPr>
              <w:noProof/>
            </w:rPr>
            <w:t xml:space="preserve"> </w:t>
          </w:r>
          <w:r w:rsidRPr="00173A13">
            <w:rPr>
              <w:noProof/>
            </w:rPr>
            <w:t>Județ</w:t>
          </w:r>
          <w:r>
            <w:rPr>
              <w:noProof/>
            </w:rPr>
            <w:t>e</w:t>
          </w:r>
          <w:r w:rsidRPr="00173A13">
            <w:rPr>
              <w:noProof/>
            </w:rPr>
            <w:t>l</w:t>
          </w:r>
          <w:r>
            <w:rPr>
              <w:noProof/>
            </w:rPr>
            <w:t xml:space="preserve">e </w:t>
          </w:r>
          <w:r w:rsidRPr="00ED7B5C">
            <w:rPr>
              <w:noProof/>
            </w:rPr>
            <w:t>Gorj, Hunedoara, Dolj, Galați, Prahova, Mureș</w:t>
          </w:r>
          <w:r w:rsidRPr="00173A13">
            <w:rPr>
              <w:noProof/>
            </w:rPr>
            <w:t>”</w:t>
          </w:r>
          <w:r>
            <w:rPr>
              <w:noProof/>
            </w:rPr>
            <w:t xml:space="preserve">, </w:t>
          </w:r>
          <w:r w:rsidRPr="00173A13">
            <w:rPr>
              <w:noProof/>
            </w:rPr>
            <w:t xml:space="preserve"> acțiunea „Dezvoltarea întreprinderilor și a antreprenoriatului”, componenta:</w:t>
          </w:r>
          <w:r>
            <w:rPr>
              <w:noProof/>
            </w:rPr>
            <w:t xml:space="preserve"> </w:t>
          </w:r>
          <w:r w:rsidRPr="00173A13">
            <w:rPr>
              <w:noProof/>
            </w:rPr>
            <w:t>Sprijin pentru infrastructura de afaceri – Parcuri industriale</w:t>
          </w:r>
        </w:p>
      </w:tc>
    </w:tr>
    <w:tr w:rsidR="00356286" w14:paraId="5174FFCB" w14:textId="77777777" w:rsidTr="00DA07FE">
      <w:trPr>
        <w:cantSplit/>
        <w:trHeight w:val="204"/>
      </w:trPr>
      <w:tc>
        <w:tcPr>
          <w:tcW w:w="14050" w:type="dxa"/>
          <w:tcBorders>
            <w:top w:val="single" w:sz="4" w:space="0" w:color="333333"/>
            <w:bottom w:val="nil"/>
          </w:tcBorders>
        </w:tcPr>
        <w:p w14:paraId="59EF6EA8" w14:textId="21CB98D0" w:rsidR="00356286" w:rsidRDefault="00356286" w:rsidP="00356286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                                               </w:t>
          </w:r>
          <w:proofErr w:type="spellStart"/>
          <w:r w:rsidRPr="006A13A3">
            <w:rPr>
              <w:rFonts w:cs="Arial"/>
              <w:b/>
              <w:bCs/>
              <w:color w:val="333333"/>
              <w:sz w:val="16"/>
              <w:szCs w:val="16"/>
            </w:rPr>
            <w:t>Anexa</w:t>
          </w:r>
          <w:proofErr w:type="spellEnd"/>
          <w:r w:rsidRPr="006A13A3">
            <w:rPr>
              <w:rFonts w:cs="Arial"/>
              <w:b/>
              <w:bCs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bCs/>
              <w:color w:val="333333"/>
              <w:sz w:val="16"/>
              <w:szCs w:val="16"/>
            </w:rPr>
            <w:t>1</w:t>
          </w:r>
          <w:r w:rsidRPr="006A13A3">
            <w:rPr>
              <w:rFonts w:cs="Arial"/>
              <w:b/>
              <w:bCs/>
              <w:color w:val="333333"/>
              <w:sz w:val="16"/>
              <w:szCs w:val="16"/>
            </w:rPr>
            <w:t xml:space="preserve"> – </w:t>
          </w:r>
          <w:proofErr w:type="spellStart"/>
          <w:r>
            <w:rPr>
              <w:rFonts w:cs="Arial"/>
              <w:b/>
              <w:bCs/>
              <w:color w:val="333333"/>
              <w:sz w:val="16"/>
              <w:szCs w:val="16"/>
            </w:rPr>
            <w:t>Bugetul</w:t>
          </w:r>
          <w:proofErr w:type="spellEnd"/>
          <w:r>
            <w:rPr>
              <w:rFonts w:cs="Arial"/>
              <w:b/>
              <w:bCs/>
              <w:color w:val="333333"/>
              <w:sz w:val="16"/>
              <w:szCs w:val="16"/>
            </w:rPr>
            <w:t xml:space="preserve"> </w:t>
          </w:r>
          <w:proofErr w:type="spellStart"/>
          <w:r>
            <w:rPr>
              <w:rFonts w:cs="Arial"/>
              <w:b/>
              <w:bCs/>
              <w:color w:val="333333"/>
              <w:sz w:val="16"/>
              <w:szCs w:val="16"/>
            </w:rPr>
            <w:t>proiectului</w:t>
          </w:r>
          <w:proofErr w:type="spellEnd"/>
        </w:p>
      </w:tc>
    </w:tr>
    <w:tr w:rsidR="00356286" w14:paraId="7B7ADCB2" w14:textId="77777777" w:rsidTr="00DA07FE">
      <w:trPr>
        <w:cantSplit/>
        <w:trHeight w:val="173"/>
      </w:trPr>
      <w:tc>
        <w:tcPr>
          <w:tcW w:w="14050" w:type="dxa"/>
          <w:tcBorders>
            <w:top w:val="nil"/>
            <w:bottom w:val="nil"/>
          </w:tcBorders>
        </w:tcPr>
        <w:p w14:paraId="1085E3A5" w14:textId="77777777" w:rsidR="00356286" w:rsidRDefault="00356286" w:rsidP="00356286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</w:p>
      </w:tc>
    </w:tr>
  </w:tbl>
  <w:p w14:paraId="2AD8EF28" w14:textId="27D9AFA1" w:rsidR="002D1EF0" w:rsidRDefault="002D1E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81329">
    <w:abstractNumId w:val="5"/>
  </w:num>
  <w:num w:numId="2" w16cid:durableId="1849712754">
    <w:abstractNumId w:val="3"/>
  </w:num>
  <w:num w:numId="3" w16cid:durableId="1699970718">
    <w:abstractNumId w:val="1"/>
  </w:num>
  <w:num w:numId="4" w16cid:durableId="699890689">
    <w:abstractNumId w:val="2"/>
  </w:num>
  <w:num w:numId="5" w16cid:durableId="269050774">
    <w:abstractNumId w:val="4"/>
  </w:num>
  <w:num w:numId="6" w16cid:durableId="37489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45EA7"/>
    <w:rsid w:val="00166BD3"/>
    <w:rsid w:val="001920A8"/>
    <w:rsid w:val="001C6758"/>
    <w:rsid w:val="001D7A02"/>
    <w:rsid w:val="001E6344"/>
    <w:rsid w:val="001F1704"/>
    <w:rsid w:val="0021421C"/>
    <w:rsid w:val="002431F7"/>
    <w:rsid w:val="00281071"/>
    <w:rsid w:val="002814EF"/>
    <w:rsid w:val="00282A58"/>
    <w:rsid w:val="0028429E"/>
    <w:rsid w:val="0028477E"/>
    <w:rsid w:val="002D078E"/>
    <w:rsid w:val="002D1EF0"/>
    <w:rsid w:val="002F796A"/>
    <w:rsid w:val="0030000F"/>
    <w:rsid w:val="0030647B"/>
    <w:rsid w:val="00320737"/>
    <w:rsid w:val="00323EE3"/>
    <w:rsid w:val="00326E06"/>
    <w:rsid w:val="0035378E"/>
    <w:rsid w:val="00356286"/>
    <w:rsid w:val="003745B6"/>
    <w:rsid w:val="003A697A"/>
    <w:rsid w:val="003B05BB"/>
    <w:rsid w:val="003C6213"/>
    <w:rsid w:val="003D6B7A"/>
    <w:rsid w:val="003F1469"/>
    <w:rsid w:val="0040659D"/>
    <w:rsid w:val="00436338"/>
    <w:rsid w:val="00461BCD"/>
    <w:rsid w:val="00470077"/>
    <w:rsid w:val="00474FB5"/>
    <w:rsid w:val="00495BA0"/>
    <w:rsid w:val="004A0510"/>
    <w:rsid w:val="004C79F2"/>
    <w:rsid w:val="004D0DA5"/>
    <w:rsid w:val="004D5415"/>
    <w:rsid w:val="004E7798"/>
    <w:rsid w:val="00507387"/>
    <w:rsid w:val="0052056D"/>
    <w:rsid w:val="0053003F"/>
    <w:rsid w:val="00544BFD"/>
    <w:rsid w:val="00547248"/>
    <w:rsid w:val="0055110F"/>
    <w:rsid w:val="00567720"/>
    <w:rsid w:val="00593E54"/>
    <w:rsid w:val="005A4629"/>
    <w:rsid w:val="005C4AF8"/>
    <w:rsid w:val="005D4050"/>
    <w:rsid w:val="00601E1F"/>
    <w:rsid w:val="00606659"/>
    <w:rsid w:val="00621D12"/>
    <w:rsid w:val="00674E85"/>
    <w:rsid w:val="006D4A07"/>
    <w:rsid w:val="006F1206"/>
    <w:rsid w:val="006F3339"/>
    <w:rsid w:val="007127CD"/>
    <w:rsid w:val="00737B2E"/>
    <w:rsid w:val="007432BF"/>
    <w:rsid w:val="00747461"/>
    <w:rsid w:val="00753028"/>
    <w:rsid w:val="007C76EF"/>
    <w:rsid w:val="007D515C"/>
    <w:rsid w:val="007E4DE5"/>
    <w:rsid w:val="007E77F2"/>
    <w:rsid w:val="00811824"/>
    <w:rsid w:val="00847EC8"/>
    <w:rsid w:val="00866566"/>
    <w:rsid w:val="008838FD"/>
    <w:rsid w:val="00885E08"/>
    <w:rsid w:val="008C3688"/>
    <w:rsid w:val="008D1F4A"/>
    <w:rsid w:val="00907523"/>
    <w:rsid w:val="0094076E"/>
    <w:rsid w:val="009A0E0E"/>
    <w:rsid w:val="009C078F"/>
    <w:rsid w:val="009D5B4B"/>
    <w:rsid w:val="00A16942"/>
    <w:rsid w:val="00A22AFB"/>
    <w:rsid w:val="00A25B50"/>
    <w:rsid w:val="00A51396"/>
    <w:rsid w:val="00A75494"/>
    <w:rsid w:val="00A87904"/>
    <w:rsid w:val="00A95516"/>
    <w:rsid w:val="00A96DBB"/>
    <w:rsid w:val="00AA0C20"/>
    <w:rsid w:val="00AA6F11"/>
    <w:rsid w:val="00AA7214"/>
    <w:rsid w:val="00AB56C6"/>
    <w:rsid w:val="00AC3B70"/>
    <w:rsid w:val="00AD69A8"/>
    <w:rsid w:val="00AE628D"/>
    <w:rsid w:val="00B02521"/>
    <w:rsid w:val="00B23F42"/>
    <w:rsid w:val="00B26117"/>
    <w:rsid w:val="00B35479"/>
    <w:rsid w:val="00B65F68"/>
    <w:rsid w:val="00B71F52"/>
    <w:rsid w:val="00B72885"/>
    <w:rsid w:val="00BB4AA6"/>
    <w:rsid w:val="00BC1559"/>
    <w:rsid w:val="00BC1918"/>
    <w:rsid w:val="00BC7AC6"/>
    <w:rsid w:val="00BE126E"/>
    <w:rsid w:val="00C05DEF"/>
    <w:rsid w:val="00C10756"/>
    <w:rsid w:val="00C15D35"/>
    <w:rsid w:val="00C253D2"/>
    <w:rsid w:val="00C456FD"/>
    <w:rsid w:val="00CB4E21"/>
    <w:rsid w:val="00CC3F79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A52"/>
    <w:rsid w:val="00D83EA1"/>
    <w:rsid w:val="00D87663"/>
    <w:rsid w:val="00D971AF"/>
    <w:rsid w:val="00DA0797"/>
    <w:rsid w:val="00DB3114"/>
    <w:rsid w:val="00DF38AB"/>
    <w:rsid w:val="00DF7549"/>
    <w:rsid w:val="00E2525C"/>
    <w:rsid w:val="00E341B7"/>
    <w:rsid w:val="00E90FA1"/>
    <w:rsid w:val="00EA293D"/>
    <w:rsid w:val="00EA43B1"/>
    <w:rsid w:val="00EC2B41"/>
    <w:rsid w:val="00EE3C74"/>
    <w:rsid w:val="00EE5A2B"/>
    <w:rsid w:val="00F21950"/>
    <w:rsid w:val="00F43CE5"/>
    <w:rsid w:val="00F508D1"/>
    <w:rsid w:val="00FB2532"/>
    <w:rsid w:val="00FC0D89"/>
    <w:rsid w:val="00FD0586"/>
    <w:rsid w:val="00FE1421"/>
    <w:rsid w:val="0312DF30"/>
    <w:rsid w:val="0A2EF9C7"/>
    <w:rsid w:val="0E06DC96"/>
    <w:rsid w:val="115320B1"/>
    <w:rsid w:val="173587D3"/>
    <w:rsid w:val="3AF6FCE5"/>
    <w:rsid w:val="3DB58ADD"/>
    <w:rsid w:val="3ED5177E"/>
    <w:rsid w:val="42BCB334"/>
    <w:rsid w:val="4C4A6D1D"/>
    <w:rsid w:val="50AA3473"/>
    <w:rsid w:val="5D5453DA"/>
    <w:rsid w:val="63D6B3DC"/>
    <w:rsid w:val="6CE546C3"/>
    <w:rsid w:val="71018F91"/>
    <w:rsid w:val="727AE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3207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SPLA</cp:lastModifiedBy>
  <cp:revision>4</cp:revision>
  <cp:lastPrinted>2023-04-28T08:37:00Z</cp:lastPrinted>
  <dcterms:created xsi:type="dcterms:W3CDTF">2025-01-19T14:04:00Z</dcterms:created>
  <dcterms:modified xsi:type="dcterms:W3CDTF">2025-09-03T05:56:00Z</dcterms:modified>
</cp:coreProperties>
</file>